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EF" w:rsidRDefault="00830F7B">
      <w:pPr>
        <w:spacing w:after="69" w:line="259" w:lineRule="auto"/>
        <w:ind w:left="10" w:right="5" w:hanging="10"/>
        <w:jc w:val="center"/>
      </w:pPr>
      <w:r>
        <w:rPr>
          <w:b/>
        </w:rPr>
        <w:t xml:space="preserve">Norma para la difusión a la ciudadanía de la Ley de Ingresos y del Presupuesto de Egresos. </w:t>
      </w:r>
    </w:p>
    <w:p w:rsidR="00DC45EF" w:rsidRDefault="00830F7B">
      <w:pPr>
        <w:spacing w:after="0" w:line="259" w:lineRule="auto"/>
        <w:ind w:firstLine="0"/>
        <w:jc w:val="center"/>
      </w:pPr>
      <w:r>
        <w:rPr>
          <w:color w:val="0000FF"/>
          <w:sz w:val="16"/>
        </w:rPr>
        <w:t>Publicado en el Diario Oficial de la Federación el 3 de abril de 2013</w:t>
      </w:r>
      <w:r>
        <w:rPr>
          <w:color w:val="17365D"/>
          <w:sz w:val="16"/>
        </w:rPr>
        <w:t xml:space="preserve"> </w:t>
      </w:r>
    </w:p>
    <w:p w:rsidR="00DC45EF" w:rsidRDefault="00830F7B" w:rsidP="00494008">
      <w:pPr>
        <w:spacing w:after="0" w:line="259" w:lineRule="auto"/>
        <w:ind w:left="44" w:right="0" w:firstLine="0"/>
        <w:jc w:val="center"/>
      </w:pPr>
      <w:r>
        <w:rPr>
          <w:sz w:val="16"/>
        </w:rPr>
        <w:t xml:space="preserve"> </w:t>
      </w:r>
    </w:p>
    <w:p w:rsidR="00DC45EF" w:rsidRDefault="00830F7B">
      <w:pPr>
        <w:spacing w:after="21" w:line="371" w:lineRule="auto"/>
        <w:ind w:left="-15" w:right="0"/>
      </w:pPr>
      <w:r>
        <w:t xml:space="preserve">Con fundamento en los artículos 9, fracciones I y IX, 14 y 62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se emite la: </w:t>
      </w:r>
    </w:p>
    <w:p w:rsidR="00DC45EF" w:rsidRDefault="00830F7B">
      <w:pPr>
        <w:spacing w:after="100" w:line="259" w:lineRule="auto"/>
        <w:ind w:left="10" w:right="5" w:hanging="10"/>
        <w:jc w:val="center"/>
      </w:pPr>
      <w:r>
        <w:rPr>
          <w:b/>
        </w:rPr>
        <w:t xml:space="preserve">Norma para la difusión a la ciudadanía de la Ley de Ingresos y del Presupuesto de Egresos. </w:t>
      </w:r>
    </w:p>
    <w:p w:rsidR="00DC45EF" w:rsidRDefault="00830F7B">
      <w:pPr>
        <w:spacing w:after="102" w:line="259" w:lineRule="auto"/>
        <w:ind w:left="288" w:right="0" w:firstLine="0"/>
        <w:jc w:val="left"/>
      </w:pPr>
      <w:r>
        <w:rPr>
          <w:b/>
        </w:rPr>
        <w:t xml:space="preserve"> </w:t>
      </w:r>
    </w:p>
    <w:p w:rsidR="00DC45EF" w:rsidRDefault="00830F7B">
      <w:pPr>
        <w:pStyle w:val="Ttulo1"/>
        <w:ind w:left="283" w:right="0"/>
      </w:pPr>
      <w:r>
        <w:t xml:space="preserve">Objeto </w:t>
      </w:r>
    </w:p>
    <w:p w:rsidR="00DC45EF" w:rsidRDefault="00830F7B">
      <w:pPr>
        <w:spacing w:after="24" w:line="371" w:lineRule="auto"/>
        <w:ind w:left="720" w:right="0" w:hanging="432"/>
      </w:pPr>
      <w:r>
        <w:t xml:space="preserve">1. Establecer las normas para que los entes obligados elaboren y difundan en sus respectivas páginas de internet documentos dirigidos a la ciudadanía que expliquen, de manera sencilla y en formatos accesibles, el contenido de la Ley de Ingresos y del Presupuesto de Egresos; así como la estructura y contenido de la información que rija la elaboración de estos documentos sea con base en estructuras y formatos armonizados. </w:t>
      </w:r>
    </w:p>
    <w:p w:rsidR="00DC45EF" w:rsidRDefault="00830F7B">
      <w:pPr>
        <w:pStyle w:val="Ttulo1"/>
        <w:ind w:left="283" w:right="0"/>
      </w:pPr>
      <w:r>
        <w:t>Ámbito de aplicación</w:t>
      </w:r>
      <w:r>
        <w:rPr>
          <w:b w:val="0"/>
        </w:rPr>
        <w:t xml:space="preserve"> </w:t>
      </w:r>
    </w:p>
    <w:p w:rsidR="00DC45EF" w:rsidRDefault="00830F7B">
      <w:pPr>
        <w:spacing w:after="25" w:line="370" w:lineRule="auto"/>
        <w:ind w:left="720" w:right="0" w:hanging="432"/>
      </w:pPr>
      <w:r>
        <w:t xml:space="preserve">2. Las presentes disposiciones serán de observancia obligatoria para la Federación, las entidades federativas, los municipios, y en su caso, las demarcaciones territoriales del Distrito Federal. </w:t>
      </w:r>
    </w:p>
    <w:p w:rsidR="00DC45EF" w:rsidRDefault="00830F7B">
      <w:pPr>
        <w:pStyle w:val="Ttulo1"/>
        <w:ind w:left="283" w:right="0"/>
      </w:pPr>
      <w:r>
        <w:t>Normas</w:t>
      </w:r>
      <w:r>
        <w:rPr>
          <w:b w:val="0"/>
        </w:rPr>
        <w:t xml:space="preserve"> </w:t>
      </w:r>
    </w:p>
    <w:p w:rsidR="00DC45EF" w:rsidRDefault="00830F7B">
      <w:pPr>
        <w:spacing w:after="24" w:line="371" w:lineRule="auto"/>
        <w:ind w:left="720" w:right="0" w:hanging="432"/>
      </w:pPr>
      <w:r>
        <w:t xml:space="preserve">3. En apego al artículo 62 de la Ley General de Contabilidad Gubernamental, los entes obligados elaborarán y difundirán en sus respectivas páginas de Internet documentos dirigidos a la ciudadanía que </w:t>
      </w:r>
      <w:proofErr w:type="gramStart"/>
      <w:r>
        <w:t>expliquen</w:t>
      </w:r>
      <w:proofErr w:type="gramEnd"/>
      <w:r>
        <w:t xml:space="preserve">, de manera sencilla y en formatos accesibles la Ley de Ingresos y el Presupuesto de Egresos. </w:t>
      </w:r>
    </w:p>
    <w:p w:rsidR="00DC45EF" w:rsidRDefault="00830F7B">
      <w:pPr>
        <w:pStyle w:val="Ttulo1"/>
        <w:ind w:left="283" w:right="0"/>
      </w:pPr>
      <w:r>
        <w:t>Estructura y contenido</w:t>
      </w:r>
      <w:r>
        <w:rPr>
          <w:b w:val="0"/>
        </w:rPr>
        <w:t xml:space="preserve"> </w:t>
      </w:r>
    </w:p>
    <w:p w:rsidR="00DC45EF" w:rsidRDefault="00830F7B">
      <w:pPr>
        <w:tabs>
          <w:tab w:val="center" w:pos="363"/>
          <w:tab w:val="center" w:pos="2560"/>
        </w:tabs>
        <w:spacing w:after="3"/>
        <w:ind w:right="0" w:firstLine="0"/>
        <w:jc w:val="left"/>
      </w:pPr>
      <w:r>
        <w:rPr>
          <w:rFonts w:ascii="Calibri" w:eastAsia="Calibri" w:hAnsi="Calibri" w:cs="Calibri"/>
          <w:sz w:val="22"/>
        </w:rPr>
        <w:tab/>
      </w:r>
      <w:r>
        <w:t xml:space="preserve">4. </w:t>
      </w:r>
      <w:r>
        <w:tab/>
        <w:t xml:space="preserve">Se deberá atender como mínimo, lo siguiente: </w:t>
      </w:r>
    </w:p>
    <w:tbl>
      <w:tblPr>
        <w:tblStyle w:val="TableGrid"/>
        <w:tblW w:w="8713" w:type="dxa"/>
        <w:tblInd w:w="65" w:type="dxa"/>
        <w:tblCellMar>
          <w:top w:w="104" w:type="dxa"/>
          <w:left w:w="72" w:type="dxa"/>
          <w:right w:w="23" w:type="dxa"/>
        </w:tblCellMar>
        <w:tblLook w:val="04A0" w:firstRow="1" w:lastRow="0" w:firstColumn="1" w:lastColumn="0" w:noHBand="0" w:noVBand="1"/>
      </w:tblPr>
      <w:tblGrid>
        <w:gridCol w:w="4356"/>
        <w:gridCol w:w="4357"/>
      </w:tblGrid>
      <w:tr w:rsidR="00DC45EF">
        <w:trPr>
          <w:trHeight w:val="384"/>
        </w:trPr>
        <w:tc>
          <w:tcPr>
            <w:tcW w:w="4356" w:type="dxa"/>
            <w:tcBorders>
              <w:top w:val="single" w:sz="6" w:space="0" w:color="000000"/>
              <w:left w:val="single" w:sz="6" w:space="0" w:color="000000"/>
              <w:bottom w:val="single" w:sz="6" w:space="0" w:color="000000"/>
              <w:right w:val="single" w:sz="6" w:space="0" w:color="000000"/>
            </w:tcBorders>
          </w:tcPr>
          <w:p w:rsidR="00DC45EF" w:rsidRDefault="00830F7B">
            <w:pPr>
              <w:spacing w:after="0" w:line="259" w:lineRule="auto"/>
              <w:ind w:right="50" w:firstLine="0"/>
              <w:jc w:val="center"/>
            </w:pPr>
            <w:r>
              <w:rPr>
                <w:i/>
              </w:rPr>
              <w:t xml:space="preserve">Preguntas / apartados </w:t>
            </w:r>
          </w:p>
        </w:tc>
        <w:tc>
          <w:tcPr>
            <w:tcW w:w="4356" w:type="dxa"/>
            <w:tcBorders>
              <w:top w:val="single" w:sz="6" w:space="0" w:color="000000"/>
              <w:left w:val="single" w:sz="6" w:space="0" w:color="000000"/>
              <w:bottom w:val="single" w:sz="6" w:space="0" w:color="000000"/>
              <w:right w:val="single" w:sz="6" w:space="0" w:color="000000"/>
            </w:tcBorders>
          </w:tcPr>
          <w:p w:rsidR="00DC45EF" w:rsidRDefault="00830F7B">
            <w:pPr>
              <w:spacing w:after="0" w:line="259" w:lineRule="auto"/>
              <w:ind w:right="50" w:firstLine="0"/>
              <w:jc w:val="center"/>
            </w:pPr>
            <w:r>
              <w:rPr>
                <w:i/>
              </w:rPr>
              <w:t xml:space="preserve">Consideraciones </w:t>
            </w:r>
          </w:p>
        </w:tc>
      </w:tr>
      <w:tr w:rsidR="00DC45EF">
        <w:trPr>
          <w:trHeight w:val="636"/>
        </w:trPr>
        <w:tc>
          <w:tcPr>
            <w:tcW w:w="4356" w:type="dxa"/>
            <w:tcBorders>
              <w:top w:val="single" w:sz="6" w:space="0" w:color="000000"/>
              <w:left w:val="single" w:sz="6" w:space="0" w:color="000000"/>
              <w:bottom w:val="single" w:sz="6" w:space="0" w:color="000000"/>
              <w:right w:val="single" w:sz="6" w:space="0" w:color="000000"/>
            </w:tcBorders>
          </w:tcPr>
          <w:p w:rsidR="00DC45EF" w:rsidRDefault="00830F7B">
            <w:pPr>
              <w:spacing w:after="0" w:line="259" w:lineRule="auto"/>
              <w:ind w:right="0" w:firstLine="0"/>
              <w:jc w:val="left"/>
            </w:pPr>
            <w:r>
              <w:t xml:space="preserve">¿Qué es la Ley de Ingresos y cuál es su importancia? </w:t>
            </w:r>
          </w:p>
        </w:tc>
        <w:tc>
          <w:tcPr>
            <w:tcW w:w="4356" w:type="dxa"/>
            <w:tcBorders>
              <w:top w:val="single" w:sz="6" w:space="0" w:color="000000"/>
              <w:left w:val="single" w:sz="6" w:space="0" w:color="000000"/>
              <w:bottom w:val="single" w:sz="6" w:space="0" w:color="000000"/>
              <w:right w:val="single" w:sz="6" w:space="0" w:color="000000"/>
            </w:tcBorders>
          </w:tcPr>
          <w:p w:rsidR="00DC45EF" w:rsidRDefault="00275719" w:rsidP="00275719">
            <w:pPr>
              <w:spacing w:after="0" w:line="259" w:lineRule="auto"/>
              <w:ind w:right="0" w:firstLine="0"/>
            </w:pPr>
            <w:r>
              <w:rPr>
                <w:color w:val="222222"/>
                <w:shd w:val="clear" w:color="auto" w:fill="FFFFFF"/>
              </w:rPr>
              <w:t>La </w:t>
            </w:r>
            <w:r w:rsidRPr="00275719">
              <w:rPr>
                <w:bCs/>
                <w:color w:val="222222"/>
                <w:shd w:val="clear" w:color="auto" w:fill="FFFFFF"/>
              </w:rPr>
              <w:t>Ley de ingresos</w:t>
            </w:r>
            <w:r w:rsidRPr="00275719">
              <w:rPr>
                <w:color w:val="222222"/>
                <w:shd w:val="clear" w:color="auto" w:fill="FFFFFF"/>
              </w:rPr>
              <w:t> </w:t>
            </w:r>
            <w:r>
              <w:rPr>
                <w:color w:val="222222"/>
                <w:shd w:val="clear" w:color="auto" w:fill="FFFFFF"/>
              </w:rPr>
              <w:t>es aquella que establece anualmente los </w:t>
            </w:r>
            <w:r w:rsidRPr="00F94183">
              <w:rPr>
                <w:bCs/>
                <w:color w:val="222222"/>
                <w:shd w:val="clear" w:color="auto" w:fill="FFFFFF"/>
              </w:rPr>
              <w:t>ingresos</w:t>
            </w:r>
            <w:r w:rsidRPr="00F94183">
              <w:rPr>
                <w:color w:val="222222"/>
                <w:shd w:val="clear" w:color="auto" w:fill="FFFFFF"/>
              </w:rPr>
              <w:t> </w:t>
            </w:r>
            <w:r>
              <w:rPr>
                <w:color w:val="222222"/>
                <w:shd w:val="clear" w:color="auto" w:fill="FFFFFF"/>
              </w:rPr>
              <w:t xml:space="preserve">del Gobierno Federal, estatal y municipal que deberán recaudarse por concepto de impuestos, derechos, productos, aprovechamientos, </w:t>
            </w:r>
            <w:r w:rsidRPr="00275719">
              <w:rPr>
                <w:color w:val="auto"/>
                <w:spacing w:val="-2"/>
                <w:szCs w:val="18"/>
              </w:rPr>
              <w:t>que serán destinados a cubrir los gastos públicos en las cantidades estimadas en la misma</w:t>
            </w:r>
            <w:r>
              <w:rPr>
                <w:rFonts w:ascii="Helvetica" w:hAnsi="Helvetica" w:cs="Helvetica"/>
                <w:color w:val="47545C"/>
                <w:spacing w:val="-2"/>
                <w:szCs w:val="18"/>
              </w:rPr>
              <w:t>.</w:t>
            </w:r>
          </w:p>
        </w:tc>
      </w:tr>
      <w:tr w:rsidR="00DC45EF">
        <w:trPr>
          <w:trHeight w:val="635"/>
        </w:trPr>
        <w:tc>
          <w:tcPr>
            <w:tcW w:w="4356" w:type="dxa"/>
            <w:tcBorders>
              <w:top w:val="single" w:sz="6" w:space="0" w:color="000000"/>
              <w:left w:val="single" w:sz="6" w:space="0" w:color="000000"/>
              <w:bottom w:val="single" w:sz="6" w:space="0" w:color="000000"/>
              <w:right w:val="single" w:sz="6" w:space="0" w:color="000000"/>
            </w:tcBorders>
          </w:tcPr>
          <w:p w:rsidR="00DC45EF" w:rsidRDefault="00830F7B">
            <w:pPr>
              <w:spacing w:after="0" w:line="259" w:lineRule="auto"/>
              <w:ind w:right="0" w:firstLine="0"/>
              <w:jc w:val="left"/>
            </w:pPr>
            <w:r>
              <w:t xml:space="preserve">¿De dónde obtienen los gobiernos sus ingresos? </w:t>
            </w:r>
          </w:p>
        </w:tc>
        <w:tc>
          <w:tcPr>
            <w:tcW w:w="4356" w:type="dxa"/>
            <w:tcBorders>
              <w:top w:val="single" w:sz="6" w:space="0" w:color="000000"/>
              <w:left w:val="single" w:sz="6" w:space="0" w:color="000000"/>
              <w:bottom w:val="single" w:sz="6" w:space="0" w:color="000000"/>
              <w:right w:val="single" w:sz="6" w:space="0" w:color="000000"/>
            </w:tcBorders>
          </w:tcPr>
          <w:p w:rsidR="00DC45EF" w:rsidRDefault="00830F7B" w:rsidP="00275719">
            <w:pPr>
              <w:spacing w:after="26" w:line="259" w:lineRule="auto"/>
              <w:ind w:right="0" w:firstLine="0"/>
            </w:pPr>
            <w:r>
              <w:t>Fuente de los ingr</w:t>
            </w:r>
            <w:r w:rsidR="004A2BFD">
              <w:t>esos para financiar los gastos se obtiene de los</w:t>
            </w:r>
            <w:r w:rsidR="00275719">
              <w:rPr>
                <w:color w:val="222222"/>
                <w:shd w:val="clear" w:color="auto" w:fill="FFFFFF"/>
              </w:rPr>
              <w:t xml:space="preserve"> impuestos, derechos, productos, aprovechamientos</w:t>
            </w:r>
            <w:r>
              <w:t xml:space="preserve">, derechos, préstamos, etc. </w:t>
            </w:r>
          </w:p>
        </w:tc>
      </w:tr>
      <w:tr w:rsidR="00DC45EF">
        <w:trPr>
          <w:trHeight w:val="635"/>
        </w:trPr>
        <w:tc>
          <w:tcPr>
            <w:tcW w:w="4356" w:type="dxa"/>
            <w:tcBorders>
              <w:top w:val="single" w:sz="6" w:space="0" w:color="000000"/>
              <w:left w:val="single" w:sz="6" w:space="0" w:color="000000"/>
              <w:bottom w:val="single" w:sz="6" w:space="0" w:color="000000"/>
              <w:right w:val="single" w:sz="6" w:space="0" w:color="000000"/>
            </w:tcBorders>
          </w:tcPr>
          <w:p w:rsidR="00DC45EF" w:rsidRDefault="00830F7B">
            <w:pPr>
              <w:spacing w:after="0" w:line="259" w:lineRule="auto"/>
              <w:ind w:right="0" w:firstLine="0"/>
              <w:jc w:val="left"/>
            </w:pPr>
            <w:r>
              <w:t xml:space="preserve">¿Qué es el Presupuesto de Egresos y cuál es su importancia? </w:t>
            </w:r>
          </w:p>
        </w:tc>
        <w:tc>
          <w:tcPr>
            <w:tcW w:w="4356" w:type="dxa"/>
            <w:tcBorders>
              <w:top w:val="single" w:sz="6" w:space="0" w:color="000000"/>
              <w:left w:val="single" w:sz="6" w:space="0" w:color="000000"/>
              <w:bottom w:val="single" w:sz="6" w:space="0" w:color="000000"/>
              <w:right w:val="single" w:sz="6" w:space="0" w:color="000000"/>
            </w:tcBorders>
          </w:tcPr>
          <w:p w:rsidR="00DC45EF" w:rsidRDefault="00494008" w:rsidP="00494008">
            <w:pPr>
              <w:spacing w:after="0" w:line="259" w:lineRule="auto"/>
              <w:ind w:right="0" w:firstLine="0"/>
              <w:jc w:val="left"/>
            </w:pPr>
            <w:r>
              <w:t>Es el documento oficial mediante el cual, comunican el monto anual asignado y aprobado por el Congreso del Estado, para poder realizar las actividades que le confieren; la importancia de este documento recae en que a través de ello delimita los montos a los que deberá sujetarse, para efectuar los gastos que origina el cumplimiento del proyecto institucional en beneficio de la ciudadanía en materia de transparencia.</w:t>
            </w:r>
          </w:p>
        </w:tc>
      </w:tr>
      <w:tr w:rsidR="00DC45EF">
        <w:trPr>
          <w:trHeight w:val="385"/>
        </w:trPr>
        <w:tc>
          <w:tcPr>
            <w:tcW w:w="4356" w:type="dxa"/>
            <w:tcBorders>
              <w:top w:val="single" w:sz="6" w:space="0" w:color="000000"/>
              <w:left w:val="single" w:sz="6" w:space="0" w:color="000000"/>
              <w:bottom w:val="single" w:sz="6" w:space="0" w:color="000000"/>
              <w:right w:val="single" w:sz="6" w:space="0" w:color="000000"/>
            </w:tcBorders>
          </w:tcPr>
          <w:p w:rsidR="00DC45EF" w:rsidRDefault="00830F7B">
            <w:pPr>
              <w:spacing w:after="0" w:line="259" w:lineRule="auto"/>
              <w:ind w:right="0" w:firstLine="0"/>
              <w:jc w:val="left"/>
            </w:pPr>
            <w:r>
              <w:lastRenderedPageBreak/>
              <w:t xml:space="preserve">¿En qué se gasta? </w:t>
            </w:r>
          </w:p>
        </w:tc>
        <w:tc>
          <w:tcPr>
            <w:tcW w:w="4356" w:type="dxa"/>
            <w:tcBorders>
              <w:top w:val="single" w:sz="6" w:space="0" w:color="000000"/>
              <w:left w:val="single" w:sz="6" w:space="0" w:color="000000"/>
              <w:bottom w:val="single" w:sz="6" w:space="0" w:color="000000"/>
              <w:right w:val="single" w:sz="6" w:space="0" w:color="000000"/>
            </w:tcBorders>
          </w:tcPr>
          <w:p w:rsidR="00DC45EF" w:rsidRDefault="00830F7B">
            <w:pPr>
              <w:spacing w:after="0" w:line="259" w:lineRule="auto"/>
              <w:ind w:right="0" w:firstLine="0"/>
              <w:jc w:val="left"/>
            </w:pPr>
            <w:r>
              <w:t xml:space="preserve">Gasto de inversión y corriente, y objeto del gasto. </w:t>
            </w:r>
          </w:p>
        </w:tc>
      </w:tr>
      <w:tr w:rsidR="00DC45EF">
        <w:trPr>
          <w:trHeight w:val="385"/>
        </w:trPr>
        <w:tc>
          <w:tcPr>
            <w:tcW w:w="4356" w:type="dxa"/>
            <w:tcBorders>
              <w:top w:val="single" w:sz="6" w:space="0" w:color="000000"/>
              <w:left w:val="single" w:sz="6" w:space="0" w:color="000000"/>
              <w:bottom w:val="single" w:sz="6" w:space="0" w:color="000000"/>
              <w:right w:val="single" w:sz="6" w:space="0" w:color="000000"/>
            </w:tcBorders>
          </w:tcPr>
          <w:p w:rsidR="00DC45EF" w:rsidRDefault="00830F7B">
            <w:pPr>
              <w:spacing w:after="0" w:line="259" w:lineRule="auto"/>
              <w:ind w:right="0" w:firstLine="0"/>
              <w:jc w:val="left"/>
            </w:pPr>
            <w:r>
              <w:t xml:space="preserve">¿Para qué se gasta? </w:t>
            </w:r>
          </w:p>
        </w:tc>
        <w:tc>
          <w:tcPr>
            <w:tcW w:w="4356" w:type="dxa"/>
            <w:tcBorders>
              <w:top w:val="single" w:sz="6" w:space="0" w:color="000000"/>
              <w:left w:val="single" w:sz="6" w:space="0" w:color="000000"/>
              <w:bottom w:val="single" w:sz="6" w:space="0" w:color="000000"/>
              <w:right w:val="single" w:sz="6" w:space="0" w:color="000000"/>
            </w:tcBorders>
          </w:tcPr>
          <w:p w:rsidR="00DC45EF" w:rsidRDefault="00830F7B">
            <w:pPr>
              <w:spacing w:after="0" w:line="259" w:lineRule="auto"/>
              <w:ind w:right="0" w:firstLine="0"/>
              <w:jc w:val="left"/>
            </w:pPr>
            <w:r>
              <w:t>Desarrollo ec</w:t>
            </w:r>
            <w:bookmarkStart w:id="0" w:name="_GoBack"/>
            <w:bookmarkEnd w:id="0"/>
            <w:r>
              <w:t xml:space="preserve">onómico, social y gobierno. </w:t>
            </w:r>
          </w:p>
        </w:tc>
      </w:tr>
      <w:tr w:rsidR="00DC45EF">
        <w:trPr>
          <w:trHeight w:val="884"/>
        </w:trPr>
        <w:tc>
          <w:tcPr>
            <w:tcW w:w="4356" w:type="dxa"/>
            <w:tcBorders>
              <w:top w:val="single" w:sz="6" w:space="0" w:color="000000"/>
              <w:left w:val="single" w:sz="6" w:space="0" w:color="000000"/>
              <w:bottom w:val="single" w:sz="6" w:space="0" w:color="000000"/>
              <w:right w:val="single" w:sz="6" w:space="0" w:color="000000"/>
            </w:tcBorders>
          </w:tcPr>
          <w:p w:rsidR="00DC45EF" w:rsidRDefault="00830F7B">
            <w:pPr>
              <w:spacing w:after="0" w:line="259" w:lineRule="auto"/>
              <w:ind w:right="0" w:firstLine="0"/>
              <w:jc w:val="left"/>
            </w:pPr>
            <w:r>
              <w:t xml:space="preserve">¿Qué pueden hacer los ciudadanos? </w:t>
            </w:r>
          </w:p>
        </w:tc>
        <w:tc>
          <w:tcPr>
            <w:tcW w:w="4356" w:type="dxa"/>
            <w:tcBorders>
              <w:top w:val="single" w:sz="6" w:space="0" w:color="000000"/>
              <w:left w:val="single" w:sz="6" w:space="0" w:color="000000"/>
              <w:bottom w:val="single" w:sz="6" w:space="0" w:color="000000"/>
              <w:right w:val="single" w:sz="6" w:space="0" w:color="000000"/>
            </w:tcBorders>
          </w:tcPr>
          <w:p w:rsidR="00DC45EF" w:rsidRDefault="00830F7B">
            <w:pPr>
              <w:spacing w:after="0" w:line="259" w:lineRule="auto"/>
              <w:ind w:right="50" w:firstLine="0"/>
            </w:pPr>
            <w:r>
              <w:t xml:space="preserve">Se deberá de considerar en el documento información sobre participación social, contraloría social y acceso a la información. </w:t>
            </w:r>
          </w:p>
        </w:tc>
      </w:tr>
    </w:tbl>
    <w:p w:rsidR="00DC45EF" w:rsidRDefault="00830F7B">
      <w:pPr>
        <w:spacing w:after="0" w:line="259" w:lineRule="auto"/>
        <w:ind w:left="289" w:right="0" w:firstLine="0"/>
        <w:jc w:val="left"/>
      </w:pPr>
      <w:r>
        <w:t xml:space="preserve"> </w:t>
      </w:r>
    </w:p>
    <w:p w:rsidR="00DC45EF" w:rsidRDefault="00830F7B">
      <w:pPr>
        <w:spacing w:after="3"/>
        <w:ind w:left="289" w:right="0" w:firstLine="0"/>
      </w:pPr>
      <w:r>
        <w:t xml:space="preserve">Ejemplo en cuanto a los ingresos: </w:t>
      </w:r>
    </w:p>
    <w:tbl>
      <w:tblPr>
        <w:tblStyle w:val="TableGrid"/>
        <w:tblW w:w="8713" w:type="dxa"/>
        <w:tblInd w:w="65" w:type="dxa"/>
        <w:tblCellMar>
          <w:top w:w="130" w:type="dxa"/>
          <w:left w:w="72" w:type="dxa"/>
          <w:right w:w="25" w:type="dxa"/>
        </w:tblCellMar>
        <w:tblLook w:val="04A0" w:firstRow="1" w:lastRow="0" w:firstColumn="1" w:lastColumn="0" w:noHBand="0" w:noVBand="1"/>
      </w:tblPr>
      <w:tblGrid>
        <w:gridCol w:w="6529"/>
        <w:gridCol w:w="2184"/>
      </w:tblGrid>
      <w:tr w:rsidR="00DC45EF">
        <w:trPr>
          <w:trHeight w:val="462"/>
        </w:trPr>
        <w:tc>
          <w:tcPr>
            <w:tcW w:w="6529"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50" w:firstLine="0"/>
              <w:jc w:val="center"/>
            </w:pPr>
            <w:r>
              <w:t xml:space="preserve">Origen de los Ingresos </w:t>
            </w:r>
          </w:p>
        </w:tc>
        <w:tc>
          <w:tcPr>
            <w:tcW w:w="2184"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50" w:firstLine="0"/>
              <w:jc w:val="center"/>
            </w:pPr>
            <w:r>
              <w:t xml:space="preserve">Importe </w:t>
            </w:r>
          </w:p>
        </w:tc>
      </w:tr>
      <w:tr w:rsidR="00DC45EF">
        <w:trPr>
          <w:trHeight w:val="462"/>
        </w:trPr>
        <w:tc>
          <w:tcPr>
            <w:tcW w:w="6529"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47" w:firstLine="0"/>
              <w:jc w:val="center"/>
            </w:pPr>
            <w:r>
              <w:t xml:space="preserve">Total </w:t>
            </w:r>
          </w:p>
        </w:tc>
        <w:tc>
          <w:tcPr>
            <w:tcW w:w="2184"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left="3" w:right="0" w:firstLine="0"/>
              <w:jc w:val="center"/>
            </w:pPr>
            <w:r>
              <w:t xml:space="preserve"> </w:t>
            </w:r>
          </w:p>
        </w:tc>
      </w:tr>
      <w:tr w:rsidR="00DC45EF">
        <w:trPr>
          <w:trHeight w:val="462"/>
        </w:trPr>
        <w:tc>
          <w:tcPr>
            <w:tcW w:w="6529"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Impuestos </w:t>
            </w:r>
          </w:p>
        </w:tc>
        <w:tc>
          <w:tcPr>
            <w:tcW w:w="2184" w:type="dxa"/>
            <w:tcBorders>
              <w:top w:val="single" w:sz="6" w:space="0" w:color="000000"/>
              <w:left w:val="single" w:sz="6" w:space="0" w:color="000000"/>
              <w:bottom w:val="single" w:sz="6" w:space="0" w:color="000000"/>
              <w:right w:val="single" w:sz="6" w:space="0" w:color="000000"/>
            </w:tcBorders>
            <w:vAlign w:val="center"/>
          </w:tcPr>
          <w:p w:rsidR="00DC45EF" w:rsidRDefault="004A2BFD">
            <w:pPr>
              <w:spacing w:after="0" w:line="259" w:lineRule="auto"/>
              <w:ind w:right="0" w:firstLine="0"/>
              <w:jc w:val="left"/>
            </w:pPr>
            <w:r>
              <w:rPr>
                <w:rFonts w:eastAsia="Times New Roman" w:cs="Times New Roman"/>
                <w:lang w:val="es-ES" w:eastAsia="es-ES" w:bidi="mr-IN"/>
              </w:rPr>
              <w:t>$2,802,000.00</w:t>
            </w:r>
          </w:p>
        </w:tc>
      </w:tr>
      <w:tr w:rsidR="00DC45EF">
        <w:trPr>
          <w:trHeight w:val="462"/>
        </w:trPr>
        <w:tc>
          <w:tcPr>
            <w:tcW w:w="6529"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Cuotas y Aportaciones de Seguridad Social </w:t>
            </w:r>
          </w:p>
        </w:tc>
        <w:tc>
          <w:tcPr>
            <w:tcW w:w="2184"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 </w:t>
            </w:r>
            <w:r w:rsidR="00BE3008">
              <w:t>0</w:t>
            </w:r>
          </w:p>
        </w:tc>
      </w:tr>
      <w:tr w:rsidR="00DC45EF">
        <w:trPr>
          <w:trHeight w:val="462"/>
        </w:trPr>
        <w:tc>
          <w:tcPr>
            <w:tcW w:w="6529"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Contribuciones de Mejoras </w:t>
            </w:r>
          </w:p>
        </w:tc>
        <w:tc>
          <w:tcPr>
            <w:tcW w:w="2184"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 </w:t>
            </w:r>
            <w:r w:rsidR="004A2BFD">
              <w:rPr>
                <w:rFonts w:eastAsia="Times New Roman" w:cs="Times New Roman"/>
                <w:lang w:val="es-ES" w:eastAsia="es-ES" w:bidi="mr-IN"/>
              </w:rPr>
              <w:t>$10,000.00</w:t>
            </w:r>
            <w:r w:rsidR="004A2BFD" w:rsidRPr="00C322C2">
              <w:rPr>
                <w:rFonts w:eastAsia="Times New Roman" w:cs="Times New Roman"/>
                <w:lang w:val="es-ES" w:eastAsia="es-ES" w:bidi="mr-IN"/>
              </w:rPr>
              <w:t> </w:t>
            </w:r>
          </w:p>
        </w:tc>
      </w:tr>
      <w:tr w:rsidR="00DC45EF">
        <w:trPr>
          <w:trHeight w:val="462"/>
        </w:trPr>
        <w:tc>
          <w:tcPr>
            <w:tcW w:w="6529"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Derechos </w:t>
            </w:r>
          </w:p>
        </w:tc>
        <w:tc>
          <w:tcPr>
            <w:tcW w:w="2184"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 </w:t>
            </w:r>
            <w:r w:rsidR="004A2BFD">
              <w:rPr>
                <w:rFonts w:eastAsia="Times New Roman" w:cs="Times New Roman"/>
                <w:lang w:val="es-ES" w:eastAsia="es-ES" w:bidi="mr-IN"/>
              </w:rPr>
              <w:t>$3,183,000.00</w:t>
            </w:r>
          </w:p>
        </w:tc>
      </w:tr>
      <w:tr w:rsidR="00DC45EF">
        <w:trPr>
          <w:trHeight w:val="462"/>
        </w:trPr>
        <w:tc>
          <w:tcPr>
            <w:tcW w:w="6529"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Productos </w:t>
            </w:r>
          </w:p>
        </w:tc>
        <w:tc>
          <w:tcPr>
            <w:tcW w:w="2184"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 </w:t>
            </w:r>
            <w:r w:rsidR="004A2BFD">
              <w:rPr>
                <w:rFonts w:eastAsia="Times New Roman" w:cs="Times New Roman"/>
                <w:lang w:val="es-ES" w:eastAsia="es-ES" w:bidi="mr-IN"/>
              </w:rPr>
              <w:t>$330,000.00</w:t>
            </w:r>
          </w:p>
        </w:tc>
      </w:tr>
      <w:tr w:rsidR="00DC45EF">
        <w:trPr>
          <w:trHeight w:val="462"/>
        </w:trPr>
        <w:tc>
          <w:tcPr>
            <w:tcW w:w="6529"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Aprovechamientos </w:t>
            </w:r>
          </w:p>
        </w:tc>
        <w:tc>
          <w:tcPr>
            <w:tcW w:w="2184"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 </w:t>
            </w:r>
            <w:r w:rsidR="004A2BFD">
              <w:rPr>
                <w:rFonts w:eastAsia="Times New Roman" w:cs="Times New Roman"/>
                <w:lang w:val="es-ES" w:eastAsia="es-ES" w:bidi="mr-IN"/>
              </w:rPr>
              <w:t>$1,000,000.00</w:t>
            </w:r>
          </w:p>
        </w:tc>
      </w:tr>
      <w:tr w:rsidR="00DC45EF">
        <w:trPr>
          <w:trHeight w:val="462"/>
        </w:trPr>
        <w:tc>
          <w:tcPr>
            <w:tcW w:w="6529"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Ingresos por Venta de Bienes, Prestación de Servicios y Otros Ingresos </w:t>
            </w:r>
          </w:p>
        </w:tc>
        <w:tc>
          <w:tcPr>
            <w:tcW w:w="2184"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 </w:t>
            </w:r>
            <w:r w:rsidR="00BE3008">
              <w:t>0</w:t>
            </w:r>
          </w:p>
          <w:p w:rsidR="00BE3008" w:rsidRDefault="00BE3008">
            <w:pPr>
              <w:spacing w:after="0" w:line="259" w:lineRule="auto"/>
              <w:ind w:right="0" w:firstLine="0"/>
              <w:jc w:val="left"/>
            </w:pPr>
          </w:p>
        </w:tc>
      </w:tr>
      <w:tr w:rsidR="00DC45EF">
        <w:trPr>
          <w:trHeight w:val="668"/>
        </w:trPr>
        <w:tc>
          <w:tcPr>
            <w:tcW w:w="6529"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pPr>
            <w:r>
              <w:t xml:space="preserve">Participaciones, Aportaciones, Convenios, Incentivos Derivados de la Colaboración Fiscal y Fondos Distintos de Aportaciones </w:t>
            </w:r>
          </w:p>
        </w:tc>
        <w:tc>
          <w:tcPr>
            <w:tcW w:w="2184" w:type="dxa"/>
            <w:tcBorders>
              <w:top w:val="single" w:sz="6" w:space="0" w:color="000000"/>
              <w:left w:val="single" w:sz="6" w:space="0" w:color="000000"/>
              <w:bottom w:val="single" w:sz="6" w:space="0" w:color="000000"/>
              <w:right w:val="single" w:sz="6" w:space="0" w:color="000000"/>
            </w:tcBorders>
          </w:tcPr>
          <w:p w:rsidR="00DC45EF" w:rsidRDefault="00830F7B">
            <w:pPr>
              <w:spacing w:after="0" w:line="259" w:lineRule="auto"/>
              <w:ind w:right="0" w:firstLine="0"/>
              <w:jc w:val="left"/>
            </w:pPr>
            <w:r>
              <w:t xml:space="preserve"> </w:t>
            </w:r>
            <w:r w:rsidR="00BE3008">
              <w:rPr>
                <w:rFonts w:eastAsia="Times New Roman" w:cs="Times New Roman"/>
                <w:lang w:val="es-ES" w:eastAsia="es-ES" w:bidi="mr-IN"/>
              </w:rPr>
              <w:t>$53,886,000.00</w:t>
            </w:r>
          </w:p>
        </w:tc>
      </w:tr>
      <w:tr w:rsidR="00DC45EF">
        <w:trPr>
          <w:trHeight w:val="670"/>
        </w:trPr>
        <w:tc>
          <w:tcPr>
            <w:tcW w:w="6529"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Transferencias, Asignaciones, Subsidios y Subvenciones, y Pensiones y Jubilaciones </w:t>
            </w:r>
          </w:p>
        </w:tc>
        <w:tc>
          <w:tcPr>
            <w:tcW w:w="2184" w:type="dxa"/>
            <w:tcBorders>
              <w:top w:val="single" w:sz="6" w:space="0" w:color="000000"/>
              <w:left w:val="single" w:sz="6" w:space="0" w:color="000000"/>
              <w:bottom w:val="single" w:sz="6" w:space="0" w:color="000000"/>
              <w:right w:val="single" w:sz="6" w:space="0" w:color="000000"/>
            </w:tcBorders>
          </w:tcPr>
          <w:p w:rsidR="00DC45EF" w:rsidRDefault="00830F7B">
            <w:pPr>
              <w:spacing w:after="0" w:line="259" w:lineRule="auto"/>
              <w:ind w:right="0" w:firstLine="0"/>
              <w:jc w:val="left"/>
            </w:pPr>
            <w:r>
              <w:t xml:space="preserve"> </w:t>
            </w:r>
            <w:r w:rsidR="00BE3008">
              <w:t>0</w:t>
            </w:r>
          </w:p>
        </w:tc>
      </w:tr>
      <w:tr w:rsidR="00DC45EF">
        <w:trPr>
          <w:trHeight w:val="460"/>
        </w:trPr>
        <w:tc>
          <w:tcPr>
            <w:tcW w:w="6529"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Ingresos Derivados de Financiamientos </w:t>
            </w:r>
          </w:p>
        </w:tc>
        <w:tc>
          <w:tcPr>
            <w:tcW w:w="2184"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 </w:t>
            </w:r>
            <w:r w:rsidR="00BE3008">
              <w:t>0</w:t>
            </w:r>
          </w:p>
        </w:tc>
      </w:tr>
    </w:tbl>
    <w:p w:rsidR="00DC45EF" w:rsidRDefault="00DC45EF" w:rsidP="00494008">
      <w:pPr>
        <w:spacing w:after="277" w:line="259" w:lineRule="auto"/>
        <w:ind w:right="0" w:firstLine="0"/>
        <w:jc w:val="left"/>
      </w:pPr>
    </w:p>
    <w:p w:rsidR="00DC45EF" w:rsidRDefault="00830F7B">
      <w:pPr>
        <w:spacing w:after="3"/>
        <w:ind w:left="289" w:right="0" w:firstLine="0"/>
      </w:pPr>
      <w:r>
        <w:t xml:space="preserve">Ejemplo en cuanto a los egresos: </w:t>
      </w:r>
    </w:p>
    <w:tbl>
      <w:tblPr>
        <w:tblStyle w:val="TableGrid"/>
        <w:tblW w:w="8713" w:type="dxa"/>
        <w:tblInd w:w="65" w:type="dxa"/>
        <w:tblCellMar>
          <w:left w:w="70" w:type="dxa"/>
          <w:right w:w="115" w:type="dxa"/>
        </w:tblCellMar>
        <w:tblLook w:val="04A0" w:firstRow="1" w:lastRow="0" w:firstColumn="1" w:lastColumn="0" w:noHBand="0" w:noVBand="1"/>
      </w:tblPr>
      <w:tblGrid>
        <w:gridCol w:w="6528"/>
        <w:gridCol w:w="2185"/>
      </w:tblGrid>
      <w:tr w:rsidR="00DC45EF">
        <w:trPr>
          <w:trHeight w:val="515"/>
        </w:trPr>
        <w:tc>
          <w:tcPr>
            <w:tcW w:w="6528"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left="44" w:right="0" w:firstLine="0"/>
              <w:jc w:val="center"/>
            </w:pPr>
            <w:r>
              <w:t xml:space="preserve">¿En qué se gasta? </w:t>
            </w:r>
          </w:p>
        </w:tc>
        <w:tc>
          <w:tcPr>
            <w:tcW w:w="2185"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left="44" w:right="0" w:firstLine="0"/>
              <w:jc w:val="center"/>
            </w:pPr>
            <w:r>
              <w:t xml:space="preserve">Importe </w:t>
            </w:r>
          </w:p>
        </w:tc>
      </w:tr>
      <w:tr w:rsidR="00DC45EF">
        <w:trPr>
          <w:trHeight w:val="515"/>
        </w:trPr>
        <w:tc>
          <w:tcPr>
            <w:tcW w:w="6528"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left="45" w:right="0" w:firstLine="0"/>
              <w:jc w:val="center"/>
            </w:pPr>
            <w:r>
              <w:t xml:space="preserve">Total </w:t>
            </w:r>
          </w:p>
        </w:tc>
        <w:tc>
          <w:tcPr>
            <w:tcW w:w="2185"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left="94" w:right="0" w:firstLine="0"/>
              <w:jc w:val="center"/>
            </w:pPr>
            <w:r>
              <w:t xml:space="preserve"> </w:t>
            </w:r>
          </w:p>
        </w:tc>
      </w:tr>
      <w:tr w:rsidR="00DC45EF">
        <w:trPr>
          <w:trHeight w:val="515"/>
        </w:trPr>
        <w:tc>
          <w:tcPr>
            <w:tcW w:w="6528"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Servicios Personales </w:t>
            </w:r>
          </w:p>
        </w:tc>
        <w:tc>
          <w:tcPr>
            <w:tcW w:w="2185"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 </w:t>
            </w:r>
            <w:r w:rsidR="00554ED3">
              <w:t>$</w:t>
            </w:r>
            <w:r w:rsidR="00D20DD2">
              <w:t>2</w:t>
            </w:r>
            <w:r w:rsidR="00554ED3">
              <w:t>,</w:t>
            </w:r>
            <w:r w:rsidR="00D20DD2">
              <w:t>368</w:t>
            </w:r>
            <w:r w:rsidR="00554ED3">
              <w:t>,</w:t>
            </w:r>
            <w:r w:rsidR="00D20DD2">
              <w:t>3441</w:t>
            </w:r>
          </w:p>
        </w:tc>
      </w:tr>
      <w:tr w:rsidR="00DC45EF">
        <w:trPr>
          <w:trHeight w:val="515"/>
        </w:trPr>
        <w:tc>
          <w:tcPr>
            <w:tcW w:w="6528"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Materiales y Suministros </w:t>
            </w:r>
          </w:p>
        </w:tc>
        <w:tc>
          <w:tcPr>
            <w:tcW w:w="2185"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 </w:t>
            </w:r>
            <w:r w:rsidR="00554ED3">
              <w:t>$</w:t>
            </w:r>
            <w:r w:rsidR="00D20DD2">
              <w:t>12</w:t>
            </w:r>
            <w:r w:rsidR="00554ED3">
              <w:t>,</w:t>
            </w:r>
            <w:r w:rsidR="00D20DD2">
              <w:t>363</w:t>
            </w:r>
            <w:r w:rsidR="00554ED3">
              <w:t>,</w:t>
            </w:r>
            <w:r w:rsidR="00D20DD2">
              <w:t>071</w:t>
            </w:r>
          </w:p>
        </w:tc>
      </w:tr>
      <w:tr w:rsidR="00DC45EF">
        <w:trPr>
          <w:trHeight w:val="516"/>
        </w:trPr>
        <w:tc>
          <w:tcPr>
            <w:tcW w:w="6528"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Servicios Generales </w:t>
            </w:r>
          </w:p>
        </w:tc>
        <w:tc>
          <w:tcPr>
            <w:tcW w:w="2185"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 </w:t>
            </w:r>
            <w:r w:rsidR="00D20DD2">
              <w:t>$15482100</w:t>
            </w:r>
          </w:p>
        </w:tc>
      </w:tr>
      <w:tr w:rsidR="00DC45EF">
        <w:trPr>
          <w:trHeight w:val="515"/>
        </w:trPr>
        <w:tc>
          <w:tcPr>
            <w:tcW w:w="6528"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lastRenderedPageBreak/>
              <w:t xml:space="preserve">Transferencias, Asignaciones, Subsidios y Otras Ayudas </w:t>
            </w:r>
          </w:p>
        </w:tc>
        <w:tc>
          <w:tcPr>
            <w:tcW w:w="2185"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 </w:t>
            </w:r>
            <w:r w:rsidR="00D20DD2">
              <w:t>$12,346,340</w:t>
            </w:r>
          </w:p>
        </w:tc>
      </w:tr>
      <w:tr w:rsidR="00DC45EF">
        <w:trPr>
          <w:trHeight w:val="515"/>
        </w:trPr>
        <w:tc>
          <w:tcPr>
            <w:tcW w:w="6528"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Bienes Muebles, Inmuebles e Intangibles </w:t>
            </w:r>
          </w:p>
        </w:tc>
        <w:tc>
          <w:tcPr>
            <w:tcW w:w="2185"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 </w:t>
            </w:r>
            <w:r w:rsidR="00D20DD2">
              <w:t>$541,500</w:t>
            </w:r>
          </w:p>
        </w:tc>
      </w:tr>
      <w:tr w:rsidR="00DC45EF">
        <w:trPr>
          <w:trHeight w:val="515"/>
        </w:trPr>
        <w:tc>
          <w:tcPr>
            <w:tcW w:w="6528"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Inversión Pública </w:t>
            </w:r>
          </w:p>
        </w:tc>
        <w:tc>
          <w:tcPr>
            <w:tcW w:w="2185"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 </w:t>
            </w:r>
            <w:r w:rsidR="00D20DD2">
              <w:t>$18,142,619</w:t>
            </w:r>
          </w:p>
        </w:tc>
      </w:tr>
      <w:tr w:rsidR="00DC45EF">
        <w:trPr>
          <w:trHeight w:val="515"/>
        </w:trPr>
        <w:tc>
          <w:tcPr>
            <w:tcW w:w="6528"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Inversiones Financieras y Otras Provisiones </w:t>
            </w:r>
          </w:p>
        </w:tc>
        <w:tc>
          <w:tcPr>
            <w:tcW w:w="2185"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 </w:t>
            </w:r>
            <w:r w:rsidR="00D20DD2">
              <w:t>$600,000</w:t>
            </w:r>
          </w:p>
        </w:tc>
      </w:tr>
      <w:tr w:rsidR="00DC45EF">
        <w:trPr>
          <w:trHeight w:val="515"/>
        </w:trPr>
        <w:tc>
          <w:tcPr>
            <w:tcW w:w="6528"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Participaciones y Aportaciones </w:t>
            </w:r>
          </w:p>
        </w:tc>
        <w:tc>
          <w:tcPr>
            <w:tcW w:w="2185"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 </w:t>
            </w:r>
            <w:r w:rsidR="00D20DD2">
              <w:t>0</w:t>
            </w:r>
          </w:p>
        </w:tc>
      </w:tr>
      <w:tr w:rsidR="00DC45EF">
        <w:trPr>
          <w:trHeight w:val="515"/>
        </w:trPr>
        <w:tc>
          <w:tcPr>
            <w:tcW w:w="6528"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Deuda Pública </w:t>
            </w:r>
          </w:p>
        </w:tc>
        <w:tc>
          <w:tcPr>
            <w:tcW w:w="2185" w:type="dxa"/>
            <w:tcBorders>
              <w:top w:val="single" w:sz="6" w:space="0" w:color="000000"/>
              <w:left w:val="single" w:sz="6" w:space="0" w:color="000000"/>
              <w:bottom w:val="single" w:sz="6" w:space="0" w:color="000000"/>
              <w:right w:val="single" w:sz="6" w:space="0" w:color="000000"/>
            </w:tcBorders>
            <w:vAlign w:val="center"/>
          </w:tcPr>
          <w:p w:rsidR="00DC45EF" w:rsidRDefault="00830F7B">
            <w:pPr>
              <w:spacing w:after="0" w:line="259" w:lineRule="auto"/>
              <w:ind w:right="0" w:firstLine="0"/>
              <w:jc w:val="left"/>
            </w:pPr>
            <w:r>
              <w:t xml:space="preserve"> </w:t>
            </w:r>
            <w:r w:rsidR="00D20DD2">
              <w:t>$900,000</w:t>
            </w:r>
          </w:p>
        </w:tc>
      </w:tr>
    </w:tbl>
    <w:p w:rsidR="00DC45EF" w:rsidRDefault="00830F7B">
      <w:pPr>
        <w:spacing w:after="138" w:line="259" w:lineRule="auto"/>
        <w:ind w:left="288" w:right="0" w:firstLine="0"/>
        <w:jc w:val="left"/>
      </w:pPr>
      <w:r>
        <w:t xml:space="preserve"> </w:t>
      </w:r>
    </w:p>
    <w:p w:rsidR="00DC45EF" w:rsidRDefault="00830F7B">
      <w:pPr>
        <w:spacing w:after="0" w:line="259" w:lineRule="auto"/>
        <w:ind w:left="288" w:right="0" w:firstLine="0"/>
        <w:jc w:val="left"/>
      </w:pPr>
      <w:r>
        <w:t xml:space="preserve"> </w:t>
      </w:r>
    </w:p>
    <w:p w:rsidR="00DC45EF" w:rsidRDefault="00830F7B">
      <w:pPr>
        <w:ind w:left="-15" w:right="0"/>
      </w:pPr>
      <w:r>
        <w:t xml:space="preserve">En la Ciudad de México, Distrito Federal, siendo las doce horas con catorce minutos del día 27 de febrero del año dos mil trece,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HAGO CONSTAR Y CERTIFICO que el documento consistente en 1 foja útil,  rubricada y cotejada, denominado Norma para la difusión a la ciudadanía de la Ley de Ingresos y del Presupuesto de Egresos, corresponde con el texto aprobado por el Consejo Nacional de Armonización Contable, mismo que estuvo a la vista de los integrantes de dicho Consejo en su primera reunión celebrada, en segunda convocatoria, este 27 de febrero del presente año, situación que se certifica para los efectos legales conducentes.- El Secretario Técnico del Consejo Nacional de Armonización Contable, </w:t>
      </w:r>
      <w:r>
        <w:rPr>
          <w:b/>
        </w:rPr>
        <w:t>Juan Manuel Alcocer Gamba</w:t>
      </w:r>
      <w:r>
        <w:t xml:space="preserve">.- Rúbrica. </w:t>
      </w:r>
    </w:p>
    <w:p w:rsidR="00DC45EF" w:rsidRDefault="00830F7B">
      <w:pPr>
        <w:spacing w:after="0" w:line="259" w:lineRule="auto"/>
        <w:ind w:left="49" w:right="0" w:firstLine="0"/>
        <w:jc w:val="center"/>
      </w:pPr>
      <w:r>
        <w:rPr>
          <w:b/>
        </w:rPr>
        <w:t xml:space="preserve"> </w:t>
      </w:r>
    </w:p>
    <w:p w:rsidR="00DC45EF" w:rsidRDefault="00830F7B">
      <w:pPr>
        <w:spacing w:after="193" w:line="259" w:lineRule="auto"/>
        <w:ind w:left="49" w:right="0" w:firstLine="0"/>
        <w:jc w:val="center"/>
      </w:pPr>
      <w:r>
        <w:rPr>
          <w:b/>
        </w:rPr>
        <w:t xml:space="preserve"> </w:t>
      </w:r>
    </w:p>
    <w:p w:rsidR="00DC45EF" w:rsidRDefault="00830F7B">
      <w:pPr>
        <w:spacing w:after="116" w:line="259" w:lineRule="auto"/>
        <w:ind w:left="10" w:right="1" w:hanging="10"/>
        <w:jc w:val="center"/>
      </w:pPr>
      <w:r>
        <w:rPr>
          <w:b/>
        </w:rPr>
        <w:t xml:space="preserve">TRANSITORIOS </w:t>
      </w:r>
    </w:p>
    <w:p w:rsidR="00DC45EF" w:rsidRDefault="00830F7B">
      <w:pPr>
        <w:spacing w:after="94" w:line="259" w:lineRule="auto"/>
        <w:ind w:firstLine="0"/>
        <w:jc w:val="center"/>
      </w:pPr>
      <w:r>
        <w:rPr>
          <w:b/>
          <w:color w:val="0000FF"/>
          <w:sz w:val="16"/>
        </w:rPr>
        <w:t>Publicado DOF 11-06-2018</w:t>
      </w:r>
      <w:r>
        <w:rPr>
          <w:b/>
        </w:rPr>
        <w:t xml:space="preserve"> </w:t>
      </w:r>
    </w:p>
    <w:p w:rsidR="00DC45EF" w:rsidRDefault="00830F7B">
      <w:pPr>
        <w:spacing w:after="96" w:line="259" w:lineRule="auto"/>
        <w:ind w:left="49" w:right="0" w:firstLine="0"/>
        <w:jc w:val="center"/>
      </w:pPr>
      <w:r>
        <w:rPr>
          <w:b/>
        </w:rPr>
        <w:t xml:space="preserve"> </w:t>
      </w:r>
    </w:p>
    <w:p w:rsidR="00DC45EF" w:rsidRDefault="00830F7B">
      <w:pPr>
        <w:ind w:left="-15" w:right="0"/>
      </w:pPr>
      <w:r>
        <w:rPr>
          <w:b/>
        </w:rPr>
        <w:t xml:space="preserve">PRIMERO.- </w:t>
      </w:r>
      <w:r>
        <w:t xml:space="preserve">El presente Acuerdo entrará en vigor al día siguiente de su publicación en el Diario Oficial de la Federación y surte efectos de manera obligatoria a partir del ejercicio 2019. </w:t>
      </w:r>
    </w:p>
    <w:p w:rsidR="00DC45EF" w:rsidRDefault="00830F7B">
      <w:pPr>
        <w:ind w:left="-15" w:right="0"/>
      </w:pPr>
      <w:r>
        <w:rPr>
          <w:b/>
        </w:rPr>
        <w:t>SEGUNDO.-</w:t>
      </w:r>
      <w:r>
        <w:t xml:space="preserve"> Durante el ejercicio 2018, los entes públicos deberán utilizar el presente Acuerdo para la elaboración de los formatos para la difusión a la ciudadanía de la Ley de Ingresos del ejercicio 2019. </w:t>
      </w:r>
    </w:p>
    <w:p w:rsidR="00DC45EF" w:rsidRDefault="00830F7B">
      <w:pPr>
        <w:ind w:left="-15" w:right="0"/>
      </w:pPr>
      <w:r>
        <w:rPr>
          <w:b/>
        </w:rPr>
        <w:t>TERCERO.-</w:t>
      </w:r>
      <w:r>
        <w:t xml:space="preserve">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 </w:t>
      </w:r>
    </w:p>
    <w:p w:rsidR="00DC45EF" w:rsidRDefault="00830F7B">
      <w:pPr>
        <w:ind w:left="-15" w:right="0"/>
      </w:pPr>
      <w:r>
        <w:rPr>
          <w:b/>
        </w:rPr>
        <w:t xml:space="preserve">CUARTO.- </w:t>
      </w:r>
      <w:r>
        <w:t xml:space="preserve">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 </w:t>
      </w:r>
    </w:p>
    <w:p w:rsidR="00DC45EF" w:rsidRDefault="00830F7B">
      <w:pPr>
        <w:ind w:left="-15" w:right="0"/>
      </w:pPr>
      <w:r>
        <w:t xml:space="preserve">En la Ciudad de México, siendo las quince horas del día 23 de mayo del año dos mil dieciocho,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Pr>
          <w:b/>
        </w:rPr>
        <w:t>HAGO CONSTAR Y CERTIFICO</w:t>
      </w:r>
      <w:r>
        <w:t xml:space="preserve"> que el documento consistente en 2 fojas útiles, rubricadas y cotejadas, corresponde con el texto del Acuerdo por el que se reforma y adiciona la Norma para la difusión a la ciudadanía de la Ley de Ingresos y del Presupuesto de Egresos, aprobado por el Consejo Nacional de Armonización Contable, mismo que estuvo a la vista de los </w:t>
      </w:r>
      <w:r>
        <w:lastRenderedPageBreak/>
        <w:t xml:space="preserve">integrantes de dicho Consejo en su segunda reunión celebrada, en segunda convocatoria, el 23 de mayo del presente año, situación que se certifica para los efectos legales conducentes. Rúbrica. </w:t>
      </w:r>
    </w:p>
    <w:p w:rsidR="00DC45EF" w:rsidRDefault="00830F7B">
      <w:pPr>
        <w:ind w:left="-15" w:right="0"/>
      </w:pPr>
      <w:r>
        <w:t xml:space="preserve">La Secretaria Técnica del Consejo Nacional de Armonización Contable, </w:t>
      </w:r>
      <w:r>
        <w:rPr>
          <w:b/>
        </w:rPr>
        <w:t>María Teresa Castro Corro</w:t>
      </w:r>
      <w:r>
        <w:t xml:space="preserve">.- Rúbrica. </w:t>
      </w:r>
    </w:p>
    <w:sectPr w:rsidR="00DC45EF">
      <w:footerReference w:type="even" r:id="rId7"/>
      <w:footerReference w:type="default" r:id="rId8"/>
      <w:footerReference w:type="first" r:id="rId9"/>
      <w:pgSz w:w="12240" w:h="15840"/>
      <w:pgMar w:top="895" w:right="1698" w:bottom="1285" w:left="1699"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FB2" w:rsidRDefault="00830F7B">
      <w:pPr>
        <w:spacing w:after="0" w:line="240" w:lineRule="auto"/>
      </w:pPr>
      <w:r>
        <w:separator/>
      </w:r>
    </w:p>
  </w:endnote>
  <w:endnote w:type="continuationSeparator" w:id="0">
    <w:p w:rsidR="00B20FB2" w:rsidRDefault="0083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EF" w:rsidRDefault="00830F7B">
    <w:pPr>
      <w:spacing w:after="0" w:line="259" w:lineRule="auto"/>
      <w:ind w:right="0"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EF" w:rsidRDefault="00830F7B">
    <w:pPr>
      <w:spacing w:after="0" w:line="259" w:lineRule="auto"/>
      <w:ind w:right="0" w:firstLine="0"/>
      <w:jc w:val="right"/>
    </w:pPr>
    <w:r>
      <w:fldChar w:fldCharType="begin"/>
    </w:r>
    <w:r>
      <w:instrText xml:space="preserve"> PAGE   \* MERGEFORMAT </w:instrText>
    </w:r>
    <w:r>
      <w:fldChar w:fldCharType="separate"/>
    </w:r>
    <w:r w:rsidR="00554ED3">
      <w:rPr>
        <w:noProof/>
      </w:rPr>
      <w:t>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EF" w:rsidRDefault="00830F7B">
    <w:pPr>
      <w:spacing w:after="0" w:line="259" w:lineRule="auto"/>
      <w:ind w:right="0"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FB2" w:rsidRDefault="00830F7B">
      <w:pPr>
        <w:spacing w:after="0" w:line="240" w:lineRule="auto"/>
      </w:pPr>
      <w:r>
        <w:separator/>
      </w:r>
    </w:p>
  </w:footnote>
  <w:footnote w:type="continuationSeparator" w:id="0">
    <w:p w:rsidR="00B20FB2" w:rsidRDefault="00830F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EF"/>
    <w:rsid w:val="00275719"/>
    <w:rsid w:val="00494008"/>
    <w:rsid w:val="004A2BFD"/>
    <w:rsid w:val="00554ED3"/>
    <w:rsid w:val="00830F7B"/>
    <w:rsid w:val="00B20FB2"/>
    <w:rsid w:val="00BE3008"/>
    <w:rsid w:val="00D20DD2"/>
    <w:rsid w:val="00DC45EF"/>
    <w:rsid w:val="00F94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0A6F6-0A9A-43C3-8A71-E0D35DFA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8" w:line="255" w:lineRule="auto"/>
      <w:ind w:right="3" w:firstLine="278"/>
      <w:jc w:val="both"/>
    </w:pPr>
    <w:rPr>
      <w:rFonts w:ascii="Arial" w:eastAsia="Arial" w:hAnsi="Arial" w:cs="Arial"/>
      <w:color w:val="000000"/>
      <w:sz w:val="18"/>
    </w:rPr>
  </w:style>
  <w:style w:type="paragraph" w:styleId="Ttulo1">
    <w:name w:val="heading 1"/>
    <w:next w:val="Normal"/>
    <w:link w:val="Ttulo1Car"/>
    <w:uiPriority w:val="9"/>
    <w:unhideWhenUsed/>
    <w:qFormat/>
    <w:pPr>
      <w:keepNext/>
      <w:keepLines/>
      <w:spacing w:after="178"/>
      <w:ind w:left="10" w:right="5" w:hanging="10"/>
      <w:outlineLvl w:val="0"/>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CF48C-4CD8-423B-800F-78907C8C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1225</Words>
  <Characters>6741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Eren</cp:lastModifiedBy>
  <cp:revision>3</cp:revision>
  <dcterms:created xsi:type="dcterms:W3CDTF">2019-08-01T19:08:00Z</dcterms:created>
  <dcterms:modified xsi:type="dcterms:W3CDTF">2019-08-01T19:41:00Z</dcterms:modified>
</cp:coreProperties>
</file>